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ind w:left="0" w:firstLine="0"/>
        <w:jc w:val="center"/>
        <w:rPr>
          <w:rFonts w:ascii="Calibri" w:cs="Calibri" w:eastAsia="Calibri" w:hAnsi="Calibri"/>
          <w:b w:val="1"/>
          <w:smallCaps w:val="1"/>
        </w:rPr>
      </w:pPr>
      <w:bookmarkStart w:colFirst="0" w:colLast="0" w:name="_heading=h.gjdgxs" w:id="0"/>
      <w:bookmarkEnd w:id="0"/>
      <w:r w:rsidDel="00000000" w:rsidR="00000000" w:rsidRPr="00000000">
        <w:rPr>
          <w:rtl w:val="0"/>
        </w:rPr>
      </w:r>
    </w:p>
    <w:p w:rsidR="00000000" w:rsidDel="00000000" w:rsidP="00000000" w:rsidRDefault="00000000" w:rsidRPr="00000000" w14:paraId="00000002">
      <w:pPr>
        <w:spacing w:before="240" w:line="276" w:lineRule="auto"/>
        <w:ind w:left="0"/>
        <w:jc w:val="center"/>
        <w:rPr>
          <w:rFonts w:ascii="Calibri" w:cs="Calibri" w:eastAsia="Calibri" w:hAnsi="Calibri"/>
          <w:b w:val="1"/>
          <w:smallCaps w:val="1"/>
        </w:rPr>
      </w:pPr>
      <w:r w:rsidDel="00000000" w:rsidR="00000000" w:rsidRPr="00000000">
        <w:rPr>
          <w:rFonts w:ascii="Calibri" w:cs="Calibri" w:eastAsia="Calibri" w:hAnsi="Calibri"/>
          <w:b w:val="1"/>
          <w:smallCaps w:val="1"/>
          <w:rtl w:val="0"/>
        </w:rPr>
        <w:t xml:space="preserve">THE MINISTER FOR THE CABINET OFFICE ON BEHALF OF THE CROWN</w:t>
      </w:r>
    </w:p>
    <w:p w:rsidR="00000000" w:rsidDel="00000000" w:rsidP="00000000" w:rsidRDefault="00000000" w:rsidRPr="00000000" w14:paraId="00000003">
      <w:pPr>
        <w:spacing w:before="240" w:line="276" w:lineRule="auto"/>
        <w:ind w:left="0"/>
        <w:jc w:val="center"/>
        <w:rPr>
          <w:rFonts w:ascii="Calibri" w:cs="Calibri" w:eastAsia="Calibri" w:hAnsi="Calibri"/>
          <w:b w:val="1"/>
          <w:smallCaps w:val="1"/>
        </w:rPr>
      </w:pPr>
      <w:r w:rsidDel="00000000" w:rsidR="00000000" w:rsidRPr="00000000">
        <w:rPr>
          <w:rFonts w:ascii="Calibri" w:cs="Calibri" w:eastAsia="Calibri" w:hAnsi="Calibri"/>
          <w:b w:val="1"/>
          <w:smallCaps w:val="1"/>
          <w:rtl w:val="0"/>
        </w:rPr>
        <w:t xml:space="preserve">REPRESENTED BY THE GOVERNMENT PROPERTY AGENCY</w:t>
      </w:r>
    </w:p>
    <w:p w:rsidR="00000000" w:rsidDel="00000000" w:rsidP="00000000" w:rsidRDefault="00000000" w:rsidRPr="00000000" w14:paraId="00000004">
      <w:pPr>
        <w:spacing w:before="240" w:line="276" w:lineRule="auto"/>
        <w:ind w:left="0" w:firstLine="0"/>
        <w:jc w:val="center"/>
        <w:rPr>
          <w:rFonts w:ascii="Calibri" w:cs="Calibri" w:eastAsia="Calibri" w:hAnsi="Calibri"/>
          <w:b w:val="1"/>
          <w:smallCaps w:val="1"/>
        </w:rPr>
      </w:pPr>
      <w:r w:rsidDel="00000000" w:rsidR="00000000" w:rsidRPr="00000000">
        <w:rPr>
          <w:rtl w:val="0"/>
        </w:rPr>
      </w:r>
    </w:p>
    <w:p w:rsidR="00000000" w:rsidDel="00000000" w:rsidP="00000000" w:rsidRDefault="00000000" w:rsidRPr="00000000" w14:paraId="00000005">
      <w:pPr>
        <w:spacing w:before="240" w:line="276" w:lineRule="auto"/>
        <w:ind w:left="0" w:firstLine="0"/>
        <w:jc w:val="center"/>
        <w:rPr>
          <w:rFonts w:ascii="Calibri" w:cs="Calibri" w:eastAsia="Calibri" w:hAnsi="Calibri"/>
          <w:b w:val="1"/>
          <w:smallCaps w:val="1"/>
        </w:rPr>
      </w:pPr>
      <w:r w:rsidDel="00000000" w:rsidR="00000000" w:rsidRPr="00000000">
        <w:rPr>
          <w:rFonts w:ascii="Calibri" w:cs="Calibri" w:eastAsia="Calibri" w:hAnsi="Calibri"/>
          <w:b w:val="1"/>
          <w:smallCaps w:val="1"/>
          <w:rtl w:val="0"/>
        </w:rPr>
        <w:t xml:space="preserve">AND</w:t>
      </w:r>
    </w:p>
    <w:p w:rsidR="00000000" w:rsidDel="00000000" w:rsidP="00000000" w:rsidRDefault="00000000" w:rsidRPr="00000000" w14:paraId="00000006">
      <w:pPr>
        <w:spacing w:before="240" w:line="276" w:lineRule="auto"/>
        <w:ind w:left="0" w:firstLine="0"/>
        <w:jc w:val="center"/>
        <w:rPr>
          <w:rFonts w:ascii="Calibri" w:cs="Calibri" w:eastAsia="Calibri" w:hAnsi="Calibri"/>
          <w:b w:val="1"/>
          <w:smallCaps w:val="1"/>
        </w:rPr>
      </w:pPr>
      <w:r w:rsidDel="00000000" w:rsidR="00000000" w:rsidRPr="00000000">
        <w:rPr>
          <w:rtl w:val="0"/>
        </w:rPr>
      </w:r>
    </w:p>
    <w:p w:rsidR="00000000" w:rsidDel="00000000" w:rsidP="00000000" w:rsidRDefault="00000000" w:rsidRPr="00000000" w14:paraId="00000007">
      <w:pPr>
        <w:spacing w:before="240" w:line="276" w:lineRule="auto"/>
        <w:ind w:left="0"/>
        <w:jc w:val="center"/>
        <w:rPr>
          <w:rFonts w:ascii="Calibri" w:cs="Calibri" w:eastAsia="Calibri" w:hAnsi="Calibri"/>
          <w:b w:val="1"/>
          <w:smallCaps w:val="1"/>
          <w:highlight w:val="yellow"/>
        </w:rPr>
      </w:pPr>
      <w:r w:rsidDel="00000000" w:rsidR="00000000" w:rsidRPr="00000000">
        <w:rPr>
          <w:rFonts w:ascii="Calibri" w:cs="Calibri" w:eastAsia="Calibri" w:hAnsi="Calibri"/>
          <w:b w:val="1"/>
          <w:smallCaps w:val="1"/>
          <w:rtl w:val="0"/>
        </w:rPr>
        <w:t xml:space="preserve">ATALIAN SERVEST LIMITED</w:t>
      </w:r>
      <w:r w:rsidDel="00000000" w:rsidR="00000000" w:rsidRPr="00000000">
        <w:rPr>
          <w:rtl w:val="0"/>
        </w:rPr>
      </w:r>
    </w:p>
    <w:p w:rsidR="00000000" w:rsidDel="00000000" w:rsidP="00000000" w:rsidRDefault="00000000" w:rsidRPr="00000000" w14:paraId="00000008">
      <w:pPr>
        <w:spacing w:before="240" w:line="276" w:lineRule="auto"/>
        <w:ind w:left="0" w:firstLine="0"/>
        <w:jc w:val="center"/>
        <w:rPr>
          <w:rFonts w:ascii="Calibri" w:cs="Calibri" w:eastAsia="Calibri" w:hAnsi="Calibri"/>
          <w:b w:val="1"/>
          <w:smallCaps w:val="1"/>
        </w:rPr>
      </w:pPr>
      <w:r w:rsidDel="00000000" w:rsidR="00000000" w:rsidRPr="00000000">
        <w:rPr>
          <w:rFonts w:ascii="Calibri" w:cs="Calibri" w:eastAsia="Calibri" w:hAnsi="Calibri"/>
          <w:b w:val="1"/>
          <w:smallCaps w:val="1"/>
          <w:rtl w:val="0"/>
        </w:rPr>
        <w:t xml:space="preserve">FACILITIES MANAGEMENT MARKETPLACE CONTRACT</w:t>
      </w:r>
    </w:p>
    <w:p w:rsidR="00000000" w:rsidDel="00000000" w:rsidP="00000000" w:rsidRDefault="00000000" w:rsidRPr="00000000" w14:paraId="00000009">
      <w:pPr>
        <w:spacing w:before="240" w:line="276" w:lineRule="auto"/>
        <w:ind w:left="0" w:firstLine="0"/>
        <w:jc w:val="center"/>
        <w:rPr>
          <w:rFonts w:ascii="Calibri" w:cs="Calibri" w:eastAsia="Calibri" w:hAnsi="Calibri"/>
          <w:b w:val="1"/>
          <w:smallCaps w:val="1"/>
        </w:rPr>
      </w:pPr>
      <w:r w:rsidDel="00000000" w:rsidR="00000000" w:rsidRPr="00000000">
        <w:rPr>
          <w:rFonts w:ascii="Calibri" w:cs="Calibri" w:eastAsia="Calibri" w:hAnsi="Calibri"/>
          <w:b w:val="1"/>
          <w:smallCaps w:val="1"/>
          <w:rtl w:val="0"/>
        </w:rPr>
        <w:t xml:space="preserve">REF: RM3830</w:t>
      </w:r>
    </w:p>
    <w:p w:rsidR="00000000" w:rsidDel="00000000" w:rsidP="00000000" w:rsidRDefault="00000000" w:rsidRPr="00000000" w14:paraId="0000000A">
      <w:pPr>
        <w:spacing w:after="0" w:lineRule="auto"/>
        <w:ind w:left="0" w:firstLine="0"/>
        <w:rPr>
          <w:rFonts w:ascii="Calibri" w:cs="Calibri" w:eastAsia="Calibri" w:hAnsi="Calibri"/>
          <w:b w:val="1"/>
          <w:sz w:val="20"/>
          <w:szCs w:val="20"/>
        </w:rPr>
      </w:pPr>
      <w:r w:rsidDel="00000000" w:rsidR="00000000" w:rsidRPr="00000000">
        <w:rPr>
          <w:rtl w:val="0"/>
        </w:rPr>
      </w:r>
    </w:p>
    <w:p w:rsidR="00000000" w:rsidDel="00000000" w:rsidP="00000000" w:rsidRDefault="00000000" w:rsidRPr="00000000" w14:paraId="0000000B">
      <w:pPr>
        <w:spacing w:after="0" w:lineRule="auto"/>
        <w:ind w:left="0" w:firstLine="0"/>
        <w:rPr>
          <w:rFonts w:ascii="Calibri" w:cs="Calibri" w:eastAsia="Calibri" w:hAnsi="Calibri"/>
          <w:b w:val="1"/>
          <w:sz w:val="20"/>
          <w:szCs w:val="20"/>
        </w:rPr>
      </w:pPr>
      <w:r w:rsidDel="00000000" w:rsidR="00000000" w:rsidRPr="00000000">
        <w:rPr>
          <w:rtl w:val="0"/>
        </w:rPr>
      </w:r>
    </w:p>
    <w:p w:rsidR="00000000" w:rsidDel="00000000" w:rsidP="00000000" w:rsidRDefault="00000000" w:rsidRPr="00000000" w14:paraId="0000000C">
      <w:pPr>
        <w:ind w:left="0" w:firstLine="0"/>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0D">
      <w:pPr>
        <w:ind w:left="0" w:firstLine="0"/>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0E">
      <w:pPr>
        <w:ind w:left="0" w:firstLine="0"/>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0F">
      <w:pPr>
        <w:spacing w:after="200" w:line="276" w:lineRule="auto"/>
        <w:ind w:left="0" w:firstLine="0"/>
        <w:jc w:val="left"/>
        <w:rPr>
          <w:rFonts w:ascii="Calibri" w:cs="Calibri" w:eastAsia="Calibri" w:hAnsi="Calibri"/>
          <w:b w:val="1"/>
          <w:smallCaps w:val="1"/>
        </w:rPr>
      </w:pPr>
      <w:r w:rsidDel="00000000" w:rsidR="00000000" w:rsidRPr="00000000">
        <w:br w:type="page"/>
      </w:r>
      <w:r w:rsidDel="00000000" w:rsidR="00000000" w:rsidRPr="00000000">
        <w:rPr>
          <w:rtl w:val="0"/>
        </w:rPr>
      </w:r>
    </w:p>
    <w:p w:rsidR="00000000" w:rsidDel="00000000" w:rsidP="00000000" w:rsidRDefault="00000000" w:rsidRPr="00000000" w14:paraId="00000010">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center"/>
        <w:rPr>
          <w:rFonts w:ascii="Calibri" w:cs="Calibri" w:eastAsia="Calibri" w:hAnsi="Calibri"/>
          <w:b w:val="1"/>
          <w:i w:val="0"/>
          <w:smallCaps w:val="1"/>
          <w:strike w:val="0"/>
          <w:color w:val="000000"/>
          <w:sz w:val="22"/>
          <w:szCs w:val="22"/>
          <w:u w:val="none"/>
          <w:shd w:fill="auto" w:val="clear"/>
          <w:vertAlign w:val="baseline"/>
        </w:rPr>
      </w:pPr>
      <w:bookmarkStart w:colFirst="0" w:colLast="0" w:name="_heading=h.30j0zll" w:id="1"/>
      <w:bookmarkEnd w:id="1"/>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CALL-OFF SCHEDULE 8</w:t>
      </w:r>
    </w:p>
    <w:p w:rsidR="00000000" w:rsidDel="00000000" w:rsidP="00000000" w:rsidRDefault="00000000" w:rsidRPr="00000000" w14:paraId="00000011">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center"/>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BUSINESS CONTINUITY AND DISASTER RECOVERY</w:t>
      </w:r>
    </w:p>
    <w:p w:rsidR="00000000" w:rsidDel="00000000" w:rsidP="00000000" w:rsidRDefault="00000000" w:rsidRPr="00000000" w14:paraId="00000012">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720" w:right="0" w:hanging="720"/>
        <w:jc w:val="both"/>
        <w:rPr/>
      </w:pPr>
      <w:bookmarkStart w:colFirst="0" w:colLast="0" w:name="_heading=h.1fob9te" w:id="2"/>
      <w:bookmarkEnd w:id="2"/>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BCDR PLAN</w:t>
      </w:r>
      <w:r w:rsidDel="00000000" w:rsidR="00000000" w:rsidRPr="00000000">
        <w:rPr>
          <w:rtl w:val="0"/>
        </w:rPr>
      </w:r>
    </w:p>
    <w:p w:rsidR="00000000" w:rsidDel="00000000" w:rsidP="00000000" w:rsidRDefault="00000000" w:rsidRPr="00000000" w14:paraId="0000001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pPr>
      <w:bookmarkStart w:colFirst="0" w:colLast="0" w:name="_heading=h.3znysh7" w:id="3"/>
      <w:bookmarkEnd w:id="3"/>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Buyer and the Supplier recognise that, where specified in Schedule 4 (Framework Management), CCS shall have the right to enforce the Buyer's rights under this Schedule.</w:t>
      </w:r>
      <w:r w:rsidDel="00000000" w:rsidR="00000000" w:rsidRPr="00000000">
        <w:rPr>
          <w:rtl w:val="0"/>
        </w:rPr>
      </w:r>
    </w:p>
    <w:p w:rsidR="00000000" w:rsidDel="00000000" w:rsidP="00000000" w:rsidRDefault="00000000" w:rsidRPr="00000000" w14:paraId="0000001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At least ninety (90) Working Days prior to the Start Date the Supplier shall prepare and deliver to the Buyer for the Buyer’s written approval a plan, which shall detail the processes and arrangements that the Supplier shall follow to:</w:t>
      </w:r>
      <w:r w:rsidDel="00000000" w:rsidR="00000000" w:rsidRPr="00000000">
        <w:rPr>
          <w:rtl w:val="0"/>
        </w:rPr>
      </w:r>
    </w:p>
    <w:p w:rsidR="00000000" w:rsidDel="00000000" w:rsidP="00000000" w:rsidRDefault="00000000" w:rsidRPr="00000000" w14:paraId="0000001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ensure continuity of the business processes and operations supported by the Services following any failure or disruption of any element of the Deliverables; and</w:t>
      </w:r>
      <w:r w:rsidDel="00000000" w:rsidR="00000000" w:rsidRPr="00000000">
        <w:rPr>
          <w:rtl w:val="0"/>
        </w:rPr>
      </w:r>
    </w:p>
    <w:p w:rsidR="00000000" w:rsidDel="00000000" w:rsidP="00000000" w:rsidRDefault="00000000" w:rsidRPr="00000000" w14:paraId="0000001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recovery of the Deliverables in the event of a Disaster ("</w:t>
      </w: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BCDR Plan</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17">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BCDR Plan shall be divided into three sections:</w:t>
      </w:r>
      <w:r w:rsidDel="00000000" w:rsidR="00000000" w:rsidRPr="00000000">
        <w:rPr>
          <w:rtl w:val="0"/>
        </w:rPr>
      </w:r>
    </w:p>
    <w:p w:rsidR="00000000" w:rsidDel="00000000" w:rsidP="00000000" w:rsidRDefault="00000000" w:rsidRPr="00000000" w14:paraId="0000001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both"/>
        <w:rPr/>
      </w:pPr>
      <w:bookmarkStart w:colFirst="0" w:colLast="0" w:name="_heading=h.2et92p0" w:id="4"/>
      <w:bookmarkEnd w:id="4"/>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Section 1 which shall set out general principles applicable to the BCDR Plan; </w:t>
      </w:r>
      <w:r w:rsidDel="00000000" w:rsidR="00000000" w:rsidRPr="00000000">
        <w:rPr>
          <w:rtl w:val="0"/>
        </w:rPr>
      </w:r>
    </w:p>
    <w:p w:rsidR="00000000" w:rsidDel="00000000" w:rsidP="00000000" w:rsidRDefault="00000000" w:rsidRPr="00000000" w14:paraId="0000001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both"/>
        <w:rPr/>
      </w:pPr>
      <w:bookmarkStart w:colFirst="0" w:colLast="0" w:name="_heading=h.tyjcwt" w:id="5"/>
      <w:bookmarkEnd w:id="5"/>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Section 2 which shall relate to business continuity (the </w:t>
      </w: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"Business Continuity Plan"</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and</w:t>
      </w:r>
      <w:r w:rsidDel="00000000" w:rsidR="00000000" w:rsidRPr="00000000">
        <w:rPr>
          <w:rtl w:val="0"/>
        </w:rPr>
      </w:r>
    </w:p>
    <w:p w:rsidR="00000000" w:rsidDel="00000000" w:rsidP="00000000" w:rsidRDefault="00000000" w:rsidRPr="00000000" w14:paraId="0000001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both"/>
        <w:rPr/>
      </w:pPr>
      <w:bookmarkStart w:colFirst="0" w:colLast="0" w:name="_heading=h.3dy6vkm" w:id="6"/>
      <w:bookmarkEnd w:id="6"/>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Section 3 which shall relate to disaster recovery (the </w:t>
      </w: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"Disaster Recovery Plan"</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1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pPr>
      <w:bookmarkStart w:colFirst="0" w:colLast="0" w:name="_heading=h.1t3h5sf" w:id="7"/>
      <w:bookmarkEnd w:id="7"/>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Following receipt of the draft BCDR Plan from the Supplier, the Parties shall use reasonable endeavours to agree the contents of the BCDR Plan. If the Parties are unable to agree the contents of the BCDR Plan within twenty (20) Working Days of its submission, then such Dispute shall be resolved in accordance with the Dispute Resolution Procedure.</w:t>
      </w:r>
      <w:r w:rsidDel="00000000" w:rsidR="00000000" w:rsidRPr="00000000">
        <w:rPr>
          <w:rtl w:val="0"/>
        </w:rPr>
      </w:r>
    </w:p>
    <w:p w:rsidR="00000000" w:rsidDel="00000000" w:rsidP="00000000" w:rsidRDefault="00000000" w:rsidRPr="00000000" w14:paraId="0000001C">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720" w:right="0" w:hanging="720"/>
        <w:jc w:val="both"/>
        <w:rPr/>
      </w:pPr>
      <w:bookmarkStart w:colFirst="0" w:colLast="0" w:name="_heading=h.4d34og8" w:id="8"/>
      <w:bookmarkEnd w:id="8"/>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Section 1 OF THE BCDR PLAN - GENERAL PRINCIPLES </w:t>
      </w:r>
      <w:r w:rsidDel="00000000" w:rsidR="00000000" w:rsidRPr="00000000">
        <w:rPr>
          <w:rtl w:val="0"/>
        </w:rPr>
      </w:r>
    </w:p>
    <w:p w:rsidR="00000000" w:rsidDel="00000000" w:rsidP="00000000" w:rsidRDefault="00000000" w:rsidRPr="00000000" w14:paraId="0000001D">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Section 1 of the BCDR Plan shall:</w:t>
      </w:r>
      <w:r w:rsidDel="00000000" w:rsidR="00000000" w:rsidRPr="00000000">
        <w:rPr>
          <w:rtl w:val="0"/>
        </w:rPr>
      </w:r>
    </w:p>
    <w:p w:rsidR="00000000" w:rsidDel="00000000" w:rsidP="00000000" w:rsidRDefault="00000000" w:rsidRPr="00000000" w14:paraId="0000001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set out how the business continuity and disaster recovery elements of the BCDR Plan link to each other;</w:t>
      </w:r>
      <w:r w:rsidDel="00000000" w:rsidR="00000000" w:rsidRPr="00000000">
        <w:rPr>
          <w:rtl w:val="0"/>
        </w:rPr>
      </w:r>
    </w:p>
    <w:p w:rsidR="00000000" w:rsidDel="00000000" w:rsidP="00000000" w:rsidRDefault="00000000" w:rsidRPr="00000000" w14:paraId="0000001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provide details of how the invocation of any element of the BCDR Plan may impact upon the provision of the Deliverables and any goods and/or services provided to the Buyer by a Related Supplier;</w:t>
      </w:r>
      <w:r w:rsidDel="00000000" w:rsidR="00000000" w:rsidRPr="00000000">
        <w:rPr>
          <w:rtl w:val="0"/>
        </w:rPr>
      </w:r>
    </w:p>
    <w:p w:rsidR="00000000" w:rsidDel="00000000" w:rsidP="00000000" w:rsidRDefault="00000000" w:rsidRPr="00000000" w14:paraId="0000002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contain an obligation upon the Supplier to liaise with the Buyer and any Related Suppliers with respect to business continuity and disaster recovery;</w:t>
      </w:r>
      <w:r w:rsidDel="00000000" w:rsidR="00000000" w:rsidRPr="00000000">
        <w:rPr>
          <w:rtl w:val="0"/>
        </w:rPr>
      </w:r>
    </w:p>
    <w:p w:rsidR="00000000" w:rsidDel="00000000" w:rsidP="00000000" w:rsidRDefault="00000000" w:rsidRPr="00000000" w14:paraId="0000002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detail how the BCDR Plan interoperates with any overarching disaster recovery or business continuity plan of the Buyer and any of its other Related Supplier in each case as notified to the Supplier by the Buyer from time to time;</w:t>
      </w:r>
      <w:r w:rsidDel="00000000" w:rsidR="00000000" w:rsidRPr="00000000">
        <w:rPr>
          <w:rtl w:val="0"/>
        </w:rPr>
      </w:r>
    </w:p>
    <w:p w:rsidR="00000000" w:rsidDel="00000000" w:rsidP="00000000" w:rsidRDefault="00000000" w:rsidRPr="00000000" w14:paraId="0000002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contain a communication strategy including details of an incident and problem management service and advice and help desk facility which can be accessed via multiple channels;</w:t>
      </w:r>
      <w:r w:rsidDel="00000000" w:rsidR="00000000" w:rsidRPr="00000000">
        <w:rPr>
          <w:rtl w:val="0"/>
        </w:rPr>
      </w:r>
    </w:p>
    <w:p w:rsidR="00000000" w:rsidDel="00000000" w:rsidP="00000000" w:rsidRDefault="00000000" w:rsidRPr="00000000" w14:paraId="00000023">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contain a risk analysis, including:</w:t>
      </w:r>
      <w:r w:rsidDel="00000000" w:rsidR="00000000" w:rsidRPr="00000000">
        <w:rPr>
          <w:rtl w:val="0"/>
        </w:rPr>
      </w:r>
    </w:p>
    <w:p w:rsidR="00000000" w:rsidDel="00000000" w:rsidP="00000000" w:rsidRDefault="00000000" w:rsidRPr="00000000" w14:paraId="00000024">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failure or disruption scenarios and assessments of likely frequency of occurrence;</w:t>
      </w:r>
      <w:r w:rsidDel="00000000" w:rsidR="00000000" w:rsidRPr="00000000">
        <w:rPr>
          <w:rtl w:val="0"/>
        </w:rPr>
      </w:r>
    </w:p>
    <w:p w:rsidR="00000000" w:rsidDel="00000000" w:rsidP="00000000" w:rsidRDefault="00000000" w:rsidRPr="00000000" w14:paraId="00000025">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identification of any single points of failure within the provision of Deliverables and processes for managing those risks;</w:t>
      </w:r>
      <w:r w:rsidDel="00000000" w:rsidR="00000000" w:rsidRPr="00000000">
        <w:rPr>
          <w:rtl w:val="0"/>
        </w:rPr>
      </w:r>
    </w:p>
    <w:p w:rsidR="00000000" w:rsidDel="00000000" w:rsidP="00000000" w:rsidRDefault="00000000" w:rsidRPr="00000000" w14:paraId="00000026">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identification of risks arising from the interaction of the provision of Deliverables with the goods and/or services provided by a Related Supplier; and</w:t>
      </w:r>
      <w:r w:rsidDel="00000000" w:rsidR="00000000" w:rsidRPr="00000000">
        <w:rPr>
          <w:rtl w:val="0"/>
        </w:rPr>
      </w:r>
    </w:p>
    <w:p w:rsidR="00000000" w:rsidDel="00000000" w:rsidP="00000000" w:rsidRDefault="00000000" w:rsidRPr="00000000" w14:paraId="00000027">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 business impact analysis of different anticipated failures or disruptions;</w:t>
      </w:r>
      <w:r w:rsidDel="00000000" w:rsidR="00000000" w:rsidRPr="00000000">
        <w:rPr>
          <w:rtl w:val="0"/>
        </w:rPr>
      </w:r>
    </w:p>
    <w:p w:rsidR="00000000" w:rsidDel="00000000" w:rsidP="00000000" w:rsidRDefault="00000000" w:rsidRPr="00000000" w14:paraId="0000002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provide for documentation of processes, including business processes, and procedures;</w:t>
      </w:r>
      <w:r w:rsidDel="00000000" w:rsidR="00000000" w:rsidRPr="00000000">
        <w:rPr>
          <w:rtl w:val="0"/>
        </w:rPr>
      </w:r>
    </w:p>
    <w:p w:rsidR="00000000" w:rsidDel="00000000" w:rsidP="00000000" w:rsidRDefault="00000000" w:rsidRPr="00000000" w14:paraId="0000002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set out key contact details for the Supplier (and any Subcontractors) and for the Buyer;</w:t>
      </w:r>
      <w:r w:rsidDel="00000000" w:rsidR="00000000" w:rsidRPr="00000000">
        <w:rPr>
          <w:rtl w:val="0"/>
        </w:rPr>
      </w:r>
    </w:p>
    <w:p w:rsidR="00000000" w:rsidDel="00000000" w:rsidP="00000000" w:rsidRDefault="00000000" w:rsidRPr="00000000" w14:paraId="0000002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identify the procedures for reverting to "normal service";</w:t>
      </w:r>
      <w:r w:rsidDel="00000000" w:rsidR="00000000" w:rsidRPr="00000000">
        <w:rPr>
          <w:rtl w:val="0"/>
        </w:rPr>
      </w:r>
    </w:p>
    <w:p w:rsidR="00000000" w:rsidDel="00000000" w:rsidP="00000000" w:rsidRDefault="00000000" w:rsidRPr="00000000" w14:paraId="0000002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set out method(s) of recovering or updating data collected (or which ought to have been collected) during a failure or disruption to minimise data loss;</w:t>
      </w:r>
      <w:r w:rsidDel="00000000" w:rsidR="00000000" w:rsidRPr="00000000">
        <w:rPr>
          <w:rtl w:val="0"/>
        </w:rPr>
      </w:r>
    </w:p>
    <w:p w:rsidR="00000000" w:rsidDel="00000000" w:rsidP="00000000" w:rsidRDefault="00000000" w:rsidRPr="00000000" w14:paraId="0000002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identify the responsibilities (if any) that the Buyer has agreed it will assume in the event of the invocation of the BCDR Plan; and</w:t>
      </w:r>
      <w:r w:rsidDel="00000000" w:rsidR="00000000" w:rsidRPr="00000000">
        <w:rPr>
          <w:rtl w:val="0"/>
        </w:rPr>
      </w:r>
    </w:p>
    <w:p w:rsidR="00000000" w:rsidDel="00000000" w:rsidP="00000000" w:rsidRDefault="00000000" w:rsidRPr="00000000" w14:paraId="0000002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provide for the provision of technical assistance to key contacts at the Buyer as required by the Buyer to inform decisions in support of the Buyer’s business continuity plans.</w:t>
      </w:r>
      <w:r w:rsidDel="00000000" w:rsidR="00000000" w:rsidRPr="00000000">
        <w:rPr>
          <w:rtl w:val="0"/>
        </w:rPr>
      </w:r>
    </w:p>
    <w:p w:rsidR="00000000" w:rsidDel="00000000" w:rsidP="00000000" w:rsidRDefault="00000000" w:rsidRPr="00000000" w14:paraId="0000002E">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BCDR Plan shall be designed so as to ensure that:</w:t>
      </w:r>
      <w:r w:rsidDel="00000000" w:rsidR="00000000" w:rsidRPr="00000000">
        <w:rPr>
          <w:rtl w:val="0"/>
        </w:rPr>
      </w:r>
    </w:p>
    <w:p w:rsidR="00000000" w:rsidDel="00000000" w:rsidP="00000000" w:rsidRDefault="00000000" w:rsidRPr="00000000" w14:paraId="0000002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Deliverables are provided in accordance with this Contract at all times during and after the invocation of the BCDR Plan;</w:t>
      </w:r>
      <w:r w:rsidDel="00000000" w:rsidR="00000000" w:rsidRPr="00000000">
        <w:rPr>
          <w:rtl w:val="0"/>
        </w:rPr>
      </w:r>
    </w:p>
    <w:p w:rsidR="00000000" w:rsidDel="00000000" w:rsidP="00000000" w:rsidRDefault="00000000" w:rsidRPr="00000000" w14:paraId="0000003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adverse impact of any Disaster is minimised as far as reasonably possible; </w:t>
      </w:r>
      <w:r w:rsidDel="00000000" w:rsidR="00000000" w:rsidRPr="00000000">
        <w:rPr>
          <w:rtl w:val="0"/>
        </w:rPr>
      </w:r>
    </w:p>
    <w:p w:rsidR="00000000" w:rsidDel="00000000" w:rsidP="00000000" w:rsidRDefault="00000000" w:rsidRPr="00000000" w14:paraId="0000003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it complies with the relevant provisions of ISO/IEC 27002; ISO22301/ISO22313   and all other industry standards from time to time in force; and</w:t>
      </w:r>
      <w:r w:rsidDel="00000000" w:rsidR="00000000" w:rsidRPr="00000000">
        <w:rPr>
          <w:rtl w:val="0"/>
        </w:rPr>
      </w:r>
    </w:p>
    <w:p w:rsidR="00000000" w:rsidDel="00000000" w:rsidP="00000000" w:rsidRDefault="00000000" w:rsidRPr="00000000" w14:paraId="0000003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it details a process for the management of disaster recovery testing.</w:t>
      </w:r>
      <w:r w:rsidDel="00000000" w:rsidR="00000000" w:rsidRPr="00000000">
        <w:rPr>
          <w:rtl w:val="0"/>
        </w:rPr>
      </w:r>
    </w:p>
    <w:p w:rsidR="00000000" w:rsidDel="00000000" w:rsidP="00000000" w:rsidRDefault="00000000" w:rsidRPr="00000000" w14:paraId="0000003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BCDR Plan shall be upgradeable and sufficiently flexible to support any changes to the Deliverables and the business operations supported by the provision of Deliverables.</w:t>
      </w:r>
      <w:r w:rsidDel="00000000" w:rsidR="00000000" w:rsidRPr="00000000">
        <w:rPr>
          <w:rtl w:val="0"/>
        </w:rPr>
      </w:r>
    </w:p>
    <w:p w:rsidR="00000000" w:rsidDel="00000000" w:rsidP="00000000" w:rsidRDefault="00000000" w:rsidRPr="00000000" w14:paraId="0000003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 not be entitled to any relief from its obligations under the KPIs or to any increase in the Charges to the extent that a Disaster occurs as a consequence of any breach by the Supplier of this Contract.</w:t>
      </w:r>
      <w:r w:rsidDel="00000000" w:rsidR="00000000" w:rsidRPr="00000000">
        <w:rPr>
          <w:rtl w:val="0"/>
        </w:rPr>
      </w:r>
    </w:p>
    <w:p w:rsidR="00000000" w:rsidDel="00000000" w:rsidP="00000000" w:rsidRDefault="00000000" w:rsidRPr="00000000" w14:paraId="00000035">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720" w:right="0" w:hanging="720"/>
        <w:jc w:val="both"/>
        <w:rPr/>
      </w:pPr>
      <w:bookmarkStart w:colFirst="0" w:colLast="0" w:name="_heading=h.2s8eyo1" w:id="9"/>
      <w:bookmarkEnd w:id="9"/>
      <w:r w:rsidDel="00000000" w:rsidR="00000000" w:rsidRPr="00000000">
        <w:rPr>
          <w:rFonts w:ascii="Calibri" w:cs="Calibri" w:eastAsia="Calibri" w:hAnsi="Calibri"/>
          <w:b w:val="1"/>
          <w:smallCaps w:val="1"/>
          <w:rtl w:val="0"/>
        </w:rPr>
        <w:t xml:space="preserve">SECTION 2 OF TH</w:t>
      </w: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E BCDR PLAN - BUSINESS CONTINUITY </w:t>
      </w:r>
      <w:r w:rsidDel="00000000" w:rsidR="00000000" w:rsidRPr="00000000">
        <w:rPr>
          <w:rtl w:val="0"/>
        </w:rPr>
      </w:r>
    </w:p>
    <w:p w:rsidR="00000000" w:rsidDel="00000000" w:rsidP="00000000" w:rsidRDefault="00000000" w:rsidRPr="00000000" w14:paraId="0000003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pPr>
      <w:bookmarkStart w:colFirst="0" w:colLast="0" w:name="_heading=h.17dp8vu" w:id="10"/>
      <w:bookmarkEnd w:id="10"/>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Business Continuity Plan shall set out the arrangements that are to be invoked to ensure that the business processes facilitated by the provision of Deliverables remain supported and to ensure continuity of the business operations supported by the Services including:</w:t>
      </w:r>
      <w:r w:rsidDel="00000000" w:rsidR="00000000" w:rsidRPr="00000000">
        <w:rPr>
          <w:rtl w:val="0"/>
        </w:rPr>
      </w:r>
    </w:p>
    <w:p w:rsidR="00000000" w:rsidDel="00000000" w:rsidP="00000000" w:rsidRDefault="00000000" w:rsidRPr="00000000" w14:paraId="0000003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alternative processes, options and responsibilities that may be adopted in the event of a failure in or disruption to the provision of Deliverables; and</w:t>
      </w:r>
      <w:r w:rsidDel="00000000" w:rsidR="00000000" w:rsidRPr="00000000">
        <w:rPr>
          <w:rtl w:val="0"/>
        </w:rPr>
      </w:r>
    </w:p>
    <w:p w:rsidR="00000000" w:rsidDel="00000000" w:rsidP="00000000" w:rsidRDefault="00000000" w:rsidRPr="00000000" w14:paraId="0000003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steps to be taken by the Supplier upon resumption of the provision of Deliverables in order to address the effect of the failure or disruption.</w:t>
      </w:r>
      <w:r w:rsidDel="00000000" w:rsidR="00000000" w:rsidRPr="00000000">
        <w:rPr>
          <w:rtl w:val="0"/>
        </w:rPr>
      </w:r>
    </w:p>
    <w:p w:rsidR="00000000" w:rsidDel="00000000" w:rsidP="00000000" w:rsidRDefault="00000000" w:rsidRPr="00000000" w14:paraId="00000039">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Business Continuity Plan shall:</w:t>
      </w:r>
      <w:r w:rsidDel="00000000" w:rsidR="00000000" w:rsidRPr="00000000">
        <w:rPr>
          <w:rtl w:val="0"/>
        </w:rPr>
      </w:r>
    </w:p>
    <w:p w:rsidR="00000000" w:rsidDel="00000000" w:rsidP="00000000" w:rsidRDefault="00000000" w:rsidRPr="00000000" w14:paraId="0000003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address the various possible levels of failures of or disruptions to the provision of Deliverables;</w:t>
      </w:r>
      <w:r w:rsidDel="00000000" w:rsidR="00000000" w:rsidRPr="00000000">
        <w:rPr>
          <w:rtl w:val="0"/>
        </w:rPr>
      </w:r>
    </w:p>
    <w:p w:rsidR="00000000" w:rsidDel="00000000" w:rsidP="00000000" w:rsidRDefault="00000000" w:rsidRPr="00000000" w14:paraId="0000003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both"/>
        <w:rPr/>
      </w:pPr>
      <w:bookmarkStart w:colFirst="0" w:colLast="0" w:name="_heading=h.3rdcrjn" w:id="11"/>
      <w:bookmarkEnd w:id="11"/>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set out the goods and/or services to be provided and the steps to be taken to remedy the different levels of failures of and disruption to the Deliverables;</w:t>
      </w:r>
      <w:r w:rsidDel="00000000" w:rsidR="00000000" w:rsidRPr="00000000">
        <w:rPr>
          <w:rtl w:val="0"/>
        </w:rPr>
      </w:r>
    </w:p>
    <w:p w:rsidR="00000000" w:rsidDel="00000000" w:rsidP="00000000" w:rsidRDefault="00000000" w:rsidRPr="00000000" w14:paraId="0000003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specify any applicable KPIs with respect to the provision of the Business Continuity Services and details of any agreed relaxation to the KPIs in respect of the provision of other Deliverables during any period of invocation of the Business Continuity Plan; and</w:t>
      </w:r>
      <w:r w:rsidDel="00000000" w:rsidR="00000000" w:rsidRPr="00000000">
        <w:rPr>
          <w:rtl w:val="0"/>
        </w:rPr>
      </w:r>
    </w:p>
    <w:p w:rsidR="00000000" w:rsidDel="00000000" w:rsidP="00000000" w:rsidRDefault="00000000" w:rsidRPr="00000000" w14:paraId="0000003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set out the circumstances in which the Business Continuity Plan is invoked.</w:t>
      </w:r>
      <w:r w:rsidDel="00000000" w:rsidR="00000000" w:rsidRPr="00000000">
        <w:rPr>
          <w:rtl w:val="0"/>
        </w:rPr>
      </w:r>
    </w:p>
    <w:p w:rsidR="00000000" w:rsidDel="00000000" w:rsidP="00000000" w:rsidRDefault="00000000" w:rsidRPr="00000000" w14:paraId="0000003E">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720" w:right="0" w:hanging="720"/>
        <w:jc w:val="both"/>
        <w:rPr/>
      </w:pPr>
      <w:bookmarkStart w:colFirst="0" w:colLast="0" w:name="_heading=h.26in1rg" w:id="12"/>
      <w:bookmarkEnd w:id="12"/>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Section 3 OF THE BCDR PLAN - DISASTER RECOVERY </w:t>
      </w:r>
      <w:r w:rsidDel="00000000" w:rsidR="00000000" w:rsidRPr="00000000">
        <w:rPr>
          <w:rtl w:val="0"/>
        </w:rPr>
      </w:r>
    </w:p>
    <w:p w:rsidR="00000000" w:rsidDel="00000000" w:rsidP="00000000" w:rsidRDefault="00000000" w:rsidRPr="00000000" w14:paraId="0000003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pPr>
      <w:bookmarkStart w:colFirst="0" w:colLast="0" w:name="_heading=h.lnxbz9" w:id="13"/>
      <w:bookmarkEnd w:id="13"/>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Disaster Recovery Plan (which shall be invoked only upon the occurrence of a Disaster) shall be designed to ensure that upon the occurrence of a Disaster the Supplier ensures continuity of the business operations of the Buyer supported by the Services following any Disaster or during any period of service failure or disruption with, as far as reasonably possible, minimal adverse impact.</w:t>
      </w:r>
      <w:r w:rsidDel="00000000" w:rsidR="00000000" w:rsidRPr="00000000">
        <w:rPr>
          <w:rtl w:val="0"/>
        </w:rPr>
      </w:r>
    </w:p>
    <w:p w:rsidR="00000000" w:rsidDel="00000000" w:rsidP="00000000" w:rsidRDefault="00000000" w:rsidRPr="00000000" w14:paraId="00000040">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Supplier's BCDR Plan shall include an approach to business continuity and disaster recovery that addresses the following:</w:t>
      </w:r>
      <w:r w:rsidDel="00000000" w:rsidR="00000000" w:rsidRPr="00000000">
        <w:rPr>
          <w:rtl w:val="0"/>
        </w:rPr>
      </w:r>
    </w:p>
    <w:p w:rsidR="00000000" w:rsidDel="00000000" w:rsidP="00000000" w:rsidRDefault="00000000" w:rsidRPr="00000000" w14:paraId="0000004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loss of access to the Buyer Premises;</w:t>
      </w:r>
      <w:r w:rsidDel="00000000" w:rsidR="00000000" w:rsidRPr="00000000">
        <w:rPr>
          <w:rtl w:val="0"/>
        </w:rPr>
      </w:r>
    </w:p>
    <w:p w:rsidR="00000000" w:rsidDel="00000000" w:rsidP="00000000" w:rsidRDefault="00000000" w:rsidRPr="00000000" w14:paraId="0000004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loss of utilities to the Buyer Premises;</w:t>
      </w:r>
      <w:r w:rsidDel="00000000" w:rsidR="00000000" w:rsidRPr="00000000">
        <w:rPr>
          <w:rtl w:val="0"/>
        </w:rPr>
      </w:r>
    </w:p>
    <w:p w:rsidR="00000000" w:rsidDel="00000000" w:rsidP="00000000" w:rsidRDefault="00000000" w:rsidRPr="00000000" w14:paraId="0000004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loss of the Supplier's helpdesk or CAFM system;</w:t>
      </w:r>
      <w:r w:rsidDel="00000000" w:rsidR="00000000" w:rsidRPr="00000000">
        <w:rPr>
          <w:rtl w:val="0"/>
        </w:rPr>
      </w:r>
    </w:p>
    <w:p w:rsidR="00000000" w:rsidDel="00000000" w:rsidP="00000000" w:rsidRDefault="00000000" w:rsidRPr="00000000" w14:paraId="0000004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loss of a Subcontractor;</w:t>
      </w:r>
      <w:r w:rsidDel="00000000" w:rsidR="00000000" w:rsidRPr="00000000">
        <w:rPr>
          <w:rtl w:val="0"/>
        </w:rPr>
      </w:r>
    </w:p>
    <w:p w:rsidR="00000000" w:rsidDel="00000000" w:rsidP="00000000" w:rsidRDefault="00000000" w:rsidRPr="00000000" w14:paraId="0000004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emergency notification and escalation process;</w:t>
      </w:r>
      <w:r w:rsidDel="00000000" w:rsidR="00000000" w:rsidRPr="00000000">
        <w:rPr>
          <w:rtl w:val="0"/>
        </w:rPr>
      </w:r>
    </w:p>
    <w:p w:rsidR="00000000" w:rsidDel="00000000" w:rsidP="00000000" w:rsidRDefault="00000000" w:rsidRPr="00000000" w14:paraId="0000004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contact lists;</w:t>
      </w:r>
      <w:r w:rsidDel="00000000" w:rsidR="00000000" w:rsidRPr="00000000">
        <w:rPr>
          <w:rtl w:val="0"/>
        </w:rPr>
      </w:r>
    </w:p>
    <w:p w:rsidR="00000000" w:rsidDel="00000000" w:rsidP="00000000" w:rsidRDefault="00000000" w:rsidRPr="00000000" w14:paraId="0000004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staff training and awareness;</w:t>
      </w:r>
      <w:r w:rsidDel="00000000" w:rsidR="00000000" w:rsidRPr="00000000">
        <w:rPr>
          <w:rtl w:val="0"/>
        </w:rPr>
      </w:r>
    </w:p>
    <w:p w:rsidR="00000000" w:rsidDel="00000000" w:rsidP="00000000" w:rsidRDefault="00000000" w:rsidRPr="00000000" w14:paraId="0000004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BCDR Plan testing; </w:t>
      </w:r>
      <w:r w:rsidDel="00000000" w:rsidR="00000000" w:rsidRPr="00000000">
        <w:rPr>
          <w:rtl w:val="0"/>
        </w:rPr>
      </w:r>
    </w:p>
    <w:p w:rsidR="00000000" w:rsidDel="00000000" w:rsidP="00000000" w:rsidRDefault="00000000" w:rsidRPr="00000000" w14:paraId="0000004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post implementation review process; </w:t>
      </w:r>
      <w:r w:rsidDel="00000000" w:rsidR="00000000" w:rsidRPr="00000000">
        <w:rPr>
          <w:rtl w:val="0"/>
        </w:rPr>
      </w:r>
    </w:p>
    <w:p w:rsidR="00000000" w:rsidDel="00000000" w:rsidP="00000000" w:rsidRDefault="00000000" w:rsidRPr="00000000" w14:paraId="0000004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any applicable KPI with respect to the provision of the disaster recovery services and details of any agreed relaxation to the KPIs in respect of the provision of other Deliverables during any period of invocation of the Disaster Recovery Plan;</w:t>
      </w:r>
      <w:r w:rsidDel="00000000" w:rsidR="00000000" w:rsidRPr="00000000">
        <w:rPr>
          <w:rtl w:val="0"/>
        </w:rPr>
      </w:r>
    </w:p>
    <w:p w:rsidR="00000000" w:rsidDel="00000000" w:rsidP="00000000" w:rsidRDefault="00000000" w:rsidRPr="00000000" w14:paraId="0000004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details of how the Supplier shall ensure compliance with security standards ensuring that compliance is maintained for any period during which the Disaster Recovery Plan is invoked;</w:t>
      </w:r>
      <w:r w:rsidDel="00000000" w:rsidR="00000000" w:rsidRPr="00000000">
        <w:rPr>
          <w:rtl w:val="0"/>
        </w:rPr>
      </w:r>
    </w:p>
    <w:p w:rsidR="00000000" w:rsidDel="00000000" w:rsidP="00000000" w:rsidRDefault="00000000" w:rsidRPr="00000000" w14:paraId="0000004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access controls to any disaster recovery sites used by the Supplier in relation to its obligations pursuant to this Schedule; and</w:t>
      </w:r>
      <w:r w:rsidDel="00000000" w:rsidR="00000000" w:rsidRPr="00000000">
        <w:rPr>
          <w:rtl w:val="0"/>
        </w:rPr>
      </w:r>
    </w:p>
    <w:p w:rsidR="00000000" w:rsidDel="00000000" w:rsidP="00000000" w:rsidRDefault="00000000" w:rsidRPr="00000000" w14:paraId="0000004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testing and management arrangements.</w:t>
      </w:r>
      <w:r w:rsidDel="00000000" w:rsidR="00000000" w:rsidRPr="00000000">
        <w:rPr>
          <w:rtl w:val="0"/>
        </w:rPr>
      </w:r>
    </w:p>
    <w:p w:rsidR="00000000" w:rsidDel="00000000" w:rsidP="00000000" w:rsidRDefault="00000000" w:rsidRPr="00000000" w14:paraId="0000004E">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720" w:right="0" w:hanging="720"/>
        <w:jc w:val="both"/>
        <w:rPr/>
      </w:pPr>
      <w:bookmarkStart w:colFirst="0" w:colLast="0" w:name="_heading=h.35nkun2" w:id="14"/>
      <w:bookmarkEnd w:id="14"/>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REVIEW AND AMENDMENT OF THE BCDR PLAN</w:t>
      </w:r>
      <w:r w:rsidDel="00000000" w:rsidR="00000000" w:rsidRPr="00000000">
        <w:rPr>
          <w:rtl w:val="0"/>
        </w:rPr>
      </w:r>
    </w:p>
    <w:p w:rsidR="00000000" w:rsidDel="00000000" w:rsidP="00000000" w:rsidRDefault="00000000" w:rsidRPr="00000000" w14:paraId="0000004F">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pPr>
      <w:bookmarkStart w:colFirst="0" w:colLast="0" w:name="_heading=h.1ksv4uv" w:id="15"/>
      <w:bookmarkEnd w:id="15"/>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 review the BCDR Plan:</w:t>
      </w:r>
      <w:r w:rsidDel="00000000" w:rsidR="00000000" w:rsidRPr="00000000">
        <w:rPr>
          <w:rtl w:val="0"/>
        </w:rPr>
      </w:r>
    </w:p>
    <w:p w:rsidR="00000000" w:rsidDel="00000000" w:rsidP="00000000" w:rsidRDefault="00000000" w:rsidRPr="00000000" w14:paraId="0000005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both"/>
        <w:rPr/>
      </w:pPr>
      <w:bookmarkStart w:colFirst="0" w:colLast="0" w:name="_heading=h.44sinio" w:id="16"/>
      <w:bookmarkEnd w:id="16"/>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on a regular basis and as a minimum once every six (6) Months;</w:t>
      </w:r>
      <w:r w:rsidDel="00000000" w:rsidR="00000000" w:rsidRPr="00000000">
        <w:rPr>
          <w:rtl w:val="0"/>
        </w:rPr>
      </w:r>
    </w:p>
    <w:p w:rsidR="00000000" w:rsidDel="00000000" w:rsidP="00000000" w:rsidRDefault="00000000" w:rsidRPr="00000000" w14:paraId="0000005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both"/>
        <w:rPr/>
      </w:pPr>
      <w:bookmarkStart w:colFirst="0" w:colLast="0" w:name="_heading=h.2jxsxqh" w:id="17"/>
      <w:bookmarkEnd w:id="17"/>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within three (3) calendar Months of the BCDR Plan (or any part) having been invoked pursuant to Paragraph 7; and</w:t>
      </w:r>
      <w:r w:rsidDel="00000000" w:rsidR="00000000" w:rsidRPr="00000000">
        <w:rPr>
          <w:rtl w:val="0"/>
        </w:rPr>
      </w:r>
    </w:p>
    <w:p w:rsidR="00000000" w:rsidDel="00000000" w:rsidP="00000000" w:rsidRDefault="00000000" w:rsidRPr="00000000" w14:paraId="0000005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both"/>
        <w:rPr/>
      </w:pPr>
      <w:bookmarkStart w:colFirst="0" w:colLast="0" w:name="_heading=h.z337ya" w:id="18"/>
      <w:bookmarkEnd w:id="18"/>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where the Buyer requests in writing any additional reviews (over and above those provided for in Paragraphs 6.1.1 and 6.1.2 of this Schedule) whereupon the Supplier shall conduct such reviews in accordance with the Buyer’s written requirements. Prior to starting its review, the Supplier shall provide an accurate written estimate of the total costs payable by the Buyer for the Buyer’s approval.  The costs of both Parties of any such additional reviews shall be met by the Buyer except that the Supplier shall not be entitled to charge the Buyer for any costs that it may incur above any estimate without the Buyer’s prior written approval. </w:t>
      </w:r>
      <w:r w:rsidDel="00000000" w:rsidR="00000000" w:rsidRPr="00000000">
        <w:rPr>
          <w:rtl w:val="0"/>
        </w:rPr>
      </w:r>
    </w:p>
    <w:p w:rsidR="00000000" w:rsidDel="00000000" w:rsidP="00000000" w:rsidRDefault="00000000" w:rsidRPr="00000000" w14:paraId="0000005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pPr>
      <w:bookmarkStart w:colFirst="0" w:colLast="0" w:name="_heading=h.3j2qqm3" w:id="19"/>
      <w:bookmarkEnd w:id="19"/>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Each review of the BCDR Plan pursuant to Paragraph 6.1 shall assess its suitability having regard to any change to the Deliverables or any underlying business processes and operations facilitated by or supported by the Services which have taken place since the later of the original approval of the BCDR Plan or the last review of the BCDR Plan, and shall also have regard to any occurrence of any event since that date (or the likelihood of any such event taking place in the foreseeable future) which may increase the likelihood of the need to invoke the BCDR Plan. The review shall be completed by the Supplier within such period as the Buyer shall reasonably require.  </w:t>
      </w:r>
      <w:r w:rsidDel="00000000" w:rsidR="00000000" w:rsidRPr="00000000">
        <w:rPr>
          <w:rtl w:val="0"/>
        </w:rPr>
      </w:r>
    </w:p>
    <w:p w:rsidR="00000000" w:rsidDel="00000000" w:rsidP="00000000" w:rsidRDefault="00000000" w:rsidRPr="00000000" w14:paraId="0000005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pPr>
      <w:bookmarkStart w:colFirst="0" w:colLast="0" w:name="_heading=h.1y810tw" w:id="20"/>
      <w:bookmarkEnd w:id="20"/>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 within twenty (20) Working Days of the conclusion of each such review of the BCDR Plan, provide to the Buyer a report (a </w:t>
      </w: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"Review Report"</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setting out the Supplier's proposals (the </w:t>
      </w: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"Supplier's Proposals"</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for addressing any changes in the risk profile and its proposals for amendments to the BCDR Plan.</w:t>
      </w:r>
      <w:r w:rsidDel="00000000" w:rsidR="00000000" w:rsidRPr="00000000">
        <w:rPr>
          <w:rtl w:val="0"/>
        </w:rPr>
      </w:r>
    </w:p>
    <w:p w:rsidR="00000000" w:rsidDel="00000000" w:rsidP="00000000" w:rsidRDefault="00000000" w:rsidRPr="00000000" w14:paraId="0000005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pPr>
      <w:bookmarkStart w:colFirst="0" w:colLast="0" w:name="_heading=h.4i7ojhp" w:id="21"/>
      <w:bookmarkEnd w:id="21"/>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Following receipt of the Review Report and the Supplier’s Proposals, the Parties shall use reasonable endeavours to agree the Review Report and the Supplier's Proposals. If the Parties are unable to agree Review Report and the Supplier's Proposals within twenty (20) Working Days of its submission, then such Dispute shall be resolved in accordance with the Dispute Resolution Procedure. </w:t>
      </w:r>
      <w:r w:rsidDel="00000000" w:rsidR="00000000" w:rsidRPr="00000000">
        <w:rPr>
          <w:rtl w:val="0"/>
        </w:rPr>
      </w:r>
    </w:p>
    <w:p w:rsidR="00000000" w:rsidDel="00000000" w:rsidP="00000000" w:rsidRDefault="00000000" w:rsidRPr="00000000" w14:paraId="0000005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 as soon as is reasonably practicable after receiving the approval of the Supplier's Proposals effect any change in its practices or procedures necessary so as to give effect to the Supplier's Proposals. Any such change shall be at the Supplier’s expense unless it can be reasonably shown that the changes are required because of a material change to the risk profile of the Deliverables.</w:t>
      </w:r>
      <w:r w:rsidDel="00000000" w:rsidR="00000000" w:rsidRPr="00000000">
        <w:rPr>
          <w:rtl w:val="0"/>
        </w:rPr>
      </w:r>
    </w:p>
    <w:p w:rsidR="00000000" w:rsidDel="00000000" w:rsidP="00000000" w:rsidRDefault="00000000" w:rsidRPr="00000000" w14:paraId="00000057">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504" w:right="0" w:hanging="720"/>
        <w:jc w:val="both"/>
        <w:rPr/>
      </w:pPr>
      <w:bookmarkStart w:colFirst="0" w:colLast="0" w:name="_heading=h.2xcytpi" w:id="22"/>
      <w:bookmarkEnd w:id="22"/>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TESTING OF THE BCDR PLAN</w:t>
      </w:r>
      <w:r w:rsidDel="00000000" w:rsidR="00000000" w:rsidRPr="00000000">
        <w:rPr>
          <w:rtl w:val="0"/>
        </w:rPr>
      </w:r>
    </w:p>
    <w:p w:rsidR="00000000" w:rsidDel="00000000" w:rsidP="00000000" w:rsidRDefault="00000000" w:rsidRPr="00000000" w14:paraId="00000058">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pPr>
      <w:bookmarkStart w:colFirst="0" w:colLast="0" w:name="_heading=h.1ci93xb" w:id="23"/>
      <w:bookmarkEnd w:id="23"/>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 test the BCDR Plan: </w:t>
      </w:r>
      <w:r w:rsidDel="00000000" w:rsidR="00000000" w:rsidRPr="00000000">
        <w:rPr>
          <w:rtl w:val="0"/>
        </w:rPr>
      </w:r>
    </w:p>
    <w:p w:rsidR="00000000" w:rsidDel="00000000" w:rsidP="00000000" w:rsidRDefault="00000000" w:rsidRPr="00000000" w14:paraId="0000005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regularly and in any event not less than once in every Contract Year;</w:t>
      </w:r>
      <w:r w:rsidDel="00000000" w:rsidR="00000000" w:rsidRPr="00000000">
        <w:rPr>
          <w:rtl w:val="0"/>
        </w:rPr>
      </w:r>
    </w:p>
    <w:p w:rsidR="00000000" w:rsidDel="00000000" w:rsidP="00000000" w:rsidRDefault="00000000" w:rsidRPr="00000000" w14:paraId="0000005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in the event of any major reconfiguration of the Deliverables</w:t>
      </w:r>
      <w:r w:rsidDel="00000000" w:rsidR="00000000" w:rsidRPr="00000000">
        <w:rPr>
          <w:rtl w:val="0"/>
        </w:rPr>
      </w:r>
    </w:p>
    <w:p w:rsidR="00000000" w:rsidDel="00000000" w:rsidP="00000000" w:rsidRDefault="00000000" w:rsidRPr="00000000" w14:paraId="0000005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at any time where the Buyer considers it necessary (acting in its sole discretion).  </w:t>
      </w:r>
      <w:r w:rsidDel="00000000" w:rsidR="00000000" w:rsidRPr="00000000">
        <w:rPr>
          <w:rtl w:val="0"/>
        </w:rPr>
      </w:r>
    </w:p>
    <w:p w:rsidR="00000000" w:rsidDel="00000000" w:rsidP="00000000" w:rsidRDefault="00000000" w:rsidRPr="00000000" w14:paraId="0000005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pPr>
      <w:bookmarkStart w:colFirst="0" w:colLast="0" w:name="_heading=h.3whwml4" w:id="24"/>
      <w:bookmarkEnd w:id="24"/>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If the Buyer requires an additional test of the BCDR Plan, it shall give the Supplier written notice and the Supplier shall conduct the test in accordance with the Buyer’s requirements and the relevant provisions of the BCDR Plan.  The Supplier's costs of the additional test shall be borne by the Buyer unless the BCDR Plan fails the additional test in which case the Supplier's costs of that failed test shall be borne by the Supplier.</w:t>
      </w:r>
      <w:r w:rsidDel="00000000" w:rsidR="00000000" w:rsidRPr="00000000">
        <w:rPr>
          <w:rtl w:val="0"/>
        </w:rPr>
      </w:r>
    </w:p>
    <w:p w:rsidR="00000000" w:rsidDel="00000000" w:rsidP="00000000" w:rsidRDefault="00000000" w:rsidRPr="00000000" w14:paraId="0000005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 undertake and manage testing of the BCDR Plan in full consultation with and under the supervision of the Buyer and shall liaise with the Buyer in respect of the planning, performance, and review, of each test, and shall comply with the reasonable requirements of the Buyer. </w:t>
      </w:r>
      <w:r w:rsidDel="00000000" w:rsidR="00000000" w:rsidRPr="00000000">
        <w:rPr>
          <w:rtl w:val="0"/>
        </w:rPr>
      </w:r>
    </w:p>
    <w:p w:rsidR="00000000" w:rsidDel="00000000" w:rsidP="00000000" w:rsidRDefault="00000000" w:rsidRPr="00000000" w14:paraId="0000005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 ensure that any use by it or any Subcontractor of "live" data in such testing is first approved with the Buyer. Copies of live test data used in any such testing shall be (if so required by the Buyer) destroyed or returned to the Buyer on completion of the test.</w:t>
      </w:r>
      <w:r w:rsidDel="00000000" w:rsidR="00000000" w:rsidRPr="00000000">
        <w:rPr>
          <w:rtl w:val="0"/>
        </w:rPr>
      </w:r>
    </w:p>
    <w:p w:rsidR="00000000" w:rsidDel="00000000" w:rsidP="00000000" w:rsidRDefault="00000000" w:rsidRPr="00000000" w14:paraId="0000005F">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 within twenty (20) Working Days of the conclusion of each test, provide to the Buyer a report setting out:</w:t>
      </w:r>
      <w:r w:rsidDel="00000000" w:rsidR="00000000" w:rsidRPr="00000000">
        <w:rPr>
          <w:rtl w:val="0"/>
        </w:rPr>
      </w:r>
    </w:p>
    <w:p w:rsidR="00000000" w:rsidDel="00000000" w:rsidP="00000000" w:rsidRDefault="00000000" w:rsidRPr="00000000" w14:paraId="0000006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outcome of the test;</w:t>
      </w:r>
      <w:r w:rsidDel="00000000" w:rsidR="00000000" w:rsidRPr="00000000">
        <w:rPr>
          <w:rtl w:val="0"/>
        </w:rPr>
      </w:r>
    </w:p>
    <w:p w:rsidR="00000000" w:rsidDel="00000000" w:rsidP="00000000" w:rsidRDefault="00000000" w:rsidRPr="00000000" w14:paraId="0000006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any failures in the BCDR Plan (including the BCDR Plan's procedures) revealed by the test; and</w:t>
      </w:r>
      <w:r w:rsidDel="00000000" w:rsidR="00000000" w:rsidRPr="00000000">
        <w:rPr>
          <w:rtl w:val="0"/>
        </w:rPr>
      </w:r>
    </w:p>
    <w:p w:rsidR="00000000" w:rsidDel="00000000" w:rsidP="00000000" w:rsidRDefault="00000000" w:rsidRPr="00000000" w14:paraId="0000006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Supplier's proposals for remedying any such failures.</w:t>
      </w:r>
      <w:r w:rsidDel="00000000" w:rsidR="00000000" w:rsidRPr="00000000">
        <w:rPr>
          <w:rtl w:val="0"/>
        </w:rPr>
      </w:r>
    </w:p>
    <w:p w:rsidR="00000000" w:rsidDel="00000000" w:rsidP="00000000" w:rsidRDefault="00000000" w:rsidRPr="00000000" w14:paraId="0000006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pPr>
      <w:bookmarkStart w:colFirst="0" w:colLast="0" w:name="_heading=h.2bn6wsx" w:id="25"/>
      <w:bookmarkEnd w:id="25"/>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Following each test, the Supplier shall take all measures requested by the Buyer to remedy any failures in the BCDR Plan and such remedial activity and re-testing shall be completed by the Supplier, at its own cost, by the date reasonably required by the Buyer.</w:t>
      </w:r>
      <w:r w:rsidDel="00000000" w:rsidR="00000000" w:rsidRPr="00000000">
        <w:rPr>
          <w:rtl w:val="0"/>
        </w:rPr>
      </w:r>
    </w:p>
    <w:p w:rsidR="00000000" w:rsidDel="00000000" w:rsidP="00000000" w:rsidRDefault="00000000" w:rsidRPr="00000000" w14:paraId="00000064">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720" w:right="0" w:hanging="720"/>
        <w:jc w:val="both"/>
        <w:rPr/>
      </w:pPr>
      <w:bookmarkStart w:colFirst="0" w:colLast="0" w:name="_heading=h.qsh70q" w:id="26"/>
      <w:bookmarkEnd w:id="26"/>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INVOCATION OF THE BCDR PLAN</w:t>
      </w:r>
      <w:r w:rsidDel="00000000" w:rsidR="00000000" w:rsidRPr="00000000">
        <w:rPr>
          <w:rtl w:val="0"/>
        </w:rPr>
      </w:r>
    </w:p>
    <w:p w:rsidR="00000000" w:rsidDel="00000000" w:rsidP="00000000" w:rsidRDefault="00000000" w:rsidRPr="00000000" w14:paraId="0000006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In the event of a complete loss of service or in the event of a Disaster, the Supplier shall immediately invoke the BCDR Plan (and shall inform the Buyer promptly of such invocation). In all other instances the Supplier shall invoke or test the BCDR Plan only with the prior consent of the Buyer.</w:t>
      </w:r>
      <w:r w:rsidDel="00000000" w:rsidR="00000000" w:rsidRPr="00000000">
        <w:rPr>
          <w:rtl w:val="0"/>
        </w:rPr>
      </w:r>
    </w:p>
    <w:p w:rsidR="00000000" w:rsidDel="00000000" w:rsidP="00000000" w:rsidRDefault="00000000" w:rsidRPr="00000000" w14:paraId="00000066">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504" w:right="0" w:hanging="720"/>
        <w:jc w:val="both"/>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FORCE MAJEURE </w:t>
      </w:r>
      <w:r w:rsidDel="00000000" w:rsidR="00000000" w:rsidRPr="00000000">
        <w:rPr>
          <w:rtl w:val="0"/>
        </w:rPr>
      </w:r>
    </w:p>
    <w:p w:rsidR="00000000" w:rsidDel="00000000" w:rsidP="00000000" w:rsidRDefault="00000000" w:rsidRPr="00000000" w14:paraId="0000006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will not be entitled to rely on the Force Majeure provisions, if the Supplier would not have been impacted by the Force Majeure event had it complied with the Business Continuity Schedule.</w:t>
      </w:r>
      <w:r w:rsidDel="00000000" w:rsidR="00000000" w:rsidRPr="00000000">
        <w:rPr>
          <w:rtl w:val="0"/>
        </w:rPr>
      </w:r>
    </w:p>
    <w:p w:rsidR="00000000" w:rsidDel="00000000" w:rsidP="00000000" w:rsidRDefault="00000000" w:rsidRPr="00000000" w14:paraId="0000006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936" w:right="0" w:hanging="576"/>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936" w:right="0" w:hanging="576"/>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0">
    <w:pPr>
      <w:tabs>
        <w:tab w:val="center" w:leader="none" w:pos="4513"/>
        <w:tab w:val="right" w:leader="none" w:pos="9026"/>
      </w:tabs>
      <w:spacing w:after="0" w:lineRule="auto"/>
      <w:ind w:left="0" w:firstLine="0"/>
      <w:rPr>
        <w:rFonts w:ascii="Calibri" w:cs="Calibri" w:eastAsia="Calibri" w:hAnsi="Calibri"/>
      </w:rPr>
    </w:pPr>
    <w:r w:rsidDel="00000000" w:rsidR="00000000" w:rsidRPr="00000000">
      <w:rPr>
        <w:rtl w:val="0"/>
      </w:rPr>
    </w:r>
  </w:p>
  <w:p w:rsidR="00000000" w:rsidDel="00000000" w:rsidP="00000000" w:rsidRDefault="00000000" w:rsidRPr="00000000" w14:paraId="00000071">
    <w:pPr>
      <w:tabs>
        <w:tab w:val="center" w:leader="none" w:pos="4513"/>
        <w:tab w:val="right" w:leader="none" w:pos="9026"/>
      </w:tabs>
      <w:spacing w:after="0" w:lineRule="auto"/>
      <w:ind w:left="0" w:firstLine="0"/>
      <w:rPr>
        <w:rFonts w:ascii="Calibri" w:cs="Calibri" w:eastAsia="Calibri" w:hAnsi="Calibri"/>
      </w:rPr>
    </w:pPr>
    <w:r w:rsidDel="00000000" w:rsidR="00000000" w:rsidRPr="00000000">
      <w:rPr>
        <w:rFonts w:ascii="Calibri" w:cs="Calibri" w:eastAsia="Calibri" w:hAnsi="Calibri"/>
        <w:rtl w:val="0"/>
      </w:rPr>
      <w:t xml:space="preserve">Ref: RM3830</w:t>
    </w:r>
  </w:p>
  <w:p w:rsidR="00000000" w:rsidDel="00000000" w:rsidP="00000000" w:rsidRDefault="00000000" w:rsidRPr="00000000" w14:paraId="00000072">
    <w:pPr>
      <w:spacing w:after="0" w:lineRule="auto"/>
      <w:ind w:left="0" w:firstLine="0"/>
      <w:rPr>
        <w:rFonts w:ascii="Calibri" w:cs="Calibri" w:eastAsia="Calibri" w:hAnsi="Calibri"/>
      </w:rPr>
    </w:pPr>
    <w:r w:rsidDel="00000000" w:rsidR="00000000" w:rsidRPr="00000000">
      <w:rPr>
        <w:rFonts w:ascii="Calibri" w:cs="Calibri" w:eastAsia="Calibri" w:hAnsi="Calibri"/>
        <w:rtl w:val="0"/>
      </w:rPr>
      <w:t xml:space="preserve">Model Version v3.0 Project Version v1.0</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3">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1418"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4">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1418"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A">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1418"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B">
    <w:pPr>
      <w:tabs>
        <w:tab w:val="center" w:leader="none" w:pos="4513"/>
        <w:tab w:val="right" w:leader="none" w:pos="9026"/>
      </w:tabs>
      <w:spacing w:after="0" w:lineRule="auto"/>
      <w:ind w:left="0" w:firstLine="0"/>
      <w:jc w:val="left"/>
      <w:rPr>
        <w:rFonts w:ascii="Calibri" w:cs="Calibri" w:eastAsia="Calibri" w:hAnsi="Calibri"/>
        <w:b w:val="1"/>
      </w:rPr>
    </w:pPr>
    <w:r w:rsidDel="00000000" w:rsidR="00000000" w:rsidRPr="00000000">
      <w:rPr>
        <w:rFonts w:ascii="Calibri" w:cs="Calibri" w:eastAsia="Calibri" w:hAnsi="Calibri"/>
        <w:b w:val="1"/>
        <w:rtl w:val="0"/>
      </w:rPr>
      <w:t xml:space="preserve">Customer Support &amp; Community (Provision of Soft FM Services) North</w:t>
    </w:r>
    <w:r w:rsidDel="00000000" w:rsidR="00000000" w:rsidRPr="00000000">
      <w:drawing>
        <wp:anchor allowOverlap="1" behindDoc="0" distB="0" distT="0" distL="114300" distR="114300" hidden="0" layoutInCell="1" locked="0" relativeHeight="0" simplePos="0">
          <wp:simplePos x="0" y="0"/>
          <wp:positionH relativeFrom="column">
            <wp:posOffset>5562600</wp:posOffset>
          </wp:positionH>
          <wp:positionV relativeFrom="paragraph">
            <wp:posOffset>-161923</wp:posOffset>
          </wp:positionV>
          <wp:extent cx="749300" cy="558800"/>
          <wp:effectExtent b="0" l="0" r="0" t="0"/>
          <wp:wrapSquare wrapText="bothSides" distB="0" distT="0" distL="114300" distR="114300"/>
          <wp:docPr id="4"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749300" cy="558800"/>
                  </a:xfrm>
                  <a:prstGeom prst="rect"/>
                  <a:ln/>
                </pic:spPr>
              </pic:pic>
            </a:graphicData>
          </a:graphic>
        </wp:anchor>
      </w:drawing>
    </w:r>
  </w:p>
  <w:p w:rsidR="00000000" w:rsidDel="00000000" w:rsidP="00000000" w:rsidRDefault="00000000" w:rsidRPr="00000000" w14:paraId="0000006C">
    <w:pPr>
      <w:tabs>
        <w:tab w:val="center" w:leader="none" w:pos="4513"/>
        <w:tab w:val="right" w:leader="none" w:pos="9026"/>
      </w:tabs>
      <w:spacing w:after="0" w:lineRule="auto"/>
      <w:ind w:left="0" w:firstLine="0"/>
      <w:jc w:val="left"/>
      <w:rPr>
        <w:rFonts w:ascii="Calibri" w:cs="Calibri" w:eastAsia="Calibri" w:hAnsi="Calibri"/>
      </w:rPr>
    </w:pPr>
    <w:r w:rsidDel="00000000" w:rsidR="00000000" w:rsidRPr="00000000">
      <w:rPr>
        <w:rFonts w:ascii="Calibri" w:cs="Calibri" w:eastAsia="Calibri" w:hAnsi="Calibri"/>
        <w:b w:val="1"/>
        <w:rtl w:val="0"/>
      </w:rPr>
      <w:t xml:space="preserve">Call-Off Schedule 8 (Business Continuity and Disaster Recovery)</w:t>
    </w:r>
    <w:r w:rsidDel="00000000" w:rsidR="00000000" w:rsidRPr="00000000">
      <w:rPr>
        <w:rtl w:val="0"/>
      </w:rPr>
    </w:r>
  </w:p>
  <w:p w:rsidR="00000000" w:rsidDel="00000000" w:rsidP="00000000" w:rsidRDefault="00000000" w:rsidRPr="00000000" w14:paraId="0000006D">
    <w:pPr>
      <w:tabs>
        <w:tab w:val="center" w:leader="none" w:pos="4513"/>
        <w:tab w:val="right" w:leader="none" w:pos="9026"/>
      </w:tabs>
      <w:spacing w:after="0" w:lineRule="auto"/>
      <w:ind w:left="0" w:firstLine="0"/>
      <w:jc w:val="left"/>
      <w:rPr/>
    </w:pPr>
    <w:r w:rsidDel="00000000" w:rsidR="00000000" w:rsidRPr="00000000">
      <w:rPr>
        <w:rFonts w:ascii="Calibri" w:cs="Calibri" w:eastAsia="Calibri" w:hAnsi="Calibri"/>
        <w:rtl w:val="0"/>
      </w:rPr>
      <w:t xml:space="preserve">Crown Copyright</w:t>
    </w:r>
    <w:r w:rsidDel="00000000" w:rsidR="00000000" w:rsidRPr="00000000">
      <w:rPr>
        <w:color w:val="000000"/>
        <w:sz w:val="16"/>
        <w:szCs w:val="16"/>
        <w:rtl w:val="0"/>
      </w:rPr>
      <w:t xml:space="preserve"> </w:t>
    </w:r>
    <w:r w:rsidDel="00000000" w:rsidR="00000000" w:rsidRPr="00000000">
      <w:rPr>
        <w:rFonts w:ascii="Calibri" w:cs="Calibri" w:eastAsia="Calibri" w:hAnsi="Calibri"/>
        <w:color w:val="000000"/>
        <w:rtl w:val="0"/>
      </w:rPr>
      <w:t xml:space="preserve">202</w:t>
    </w:r>
    <w:r w:rsidDel="00000000" w:rsidR="00000000" w:rsidRPr="00000000">
      <w:rPr>
        <w:rFonts w:ascii="Calibri" w:cs="Calibri" w:eastAsia="Calibri" w:hAnsi="Calibri"/>
        <w:rtl w:val="0"/>
      </w:rPr>
      <w:t xml:space="preserve">2</w:t>
    </w:r>
    <w:r w:rsidDel="00000000" w:rsidR="00000000" w:rsidRPr="00000000">
      <w:rPr>
        <w:rtl w:val="0"/>
      </w:rPr>
    </w:r>
  </w:p>
  <w:p w:rsidR="00000000" w:rsidDel="00000000" w:rsidP="00000000" w:rsidRDefault="00000000" w:rsidRPr="00000000" w14:paraId="0000006E">
    <w:pPr>
      <w:ind w:firstLine="1418"/>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F">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1418"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rFonts w:ascii="Calibri" w:cs="Calibri" w:eastAsia="Calibri" w:hAnsi="Calibri"/>
        <w:b w:val="0"/>
        <w:smallCaps w:val="0"/>
        <w:strike w:val="0"/>
        <w:color w:val="000000"/>
        <w:u w:val="none"/>
        <w:vertAlign w:val="baseline"/>
      </w:rPr>
    </w:lvl>
    <w:lvl w:ilvl="1">
      <w:start w:val="1"/>
      <w:numFmt w:val="decimal"/>
      <w:lvlText w:val="%1.%2"/>
      <w:lvlJc w:val="left"/>
      <w:pPr>
        <w:ind w:left="720" w:hanging="720"/>
      </w:pPr>
      <w:rPr>
        <w:rFonts w:ascii="Calibri" w:cs="Calibri" w:eastAsia="Calibri" w:hAnsi="Calibri"/>
        <w:i w:val="0"/>
        <w:smallCaps w:val="0"/>
        <w:strike w:val="0"/>
        <w:color w:val="000000"/>
        <w:u w:val="none"/>
        <w:vertAlign w:val="baseline"/>
      </w:rPr>
    </w:lvl>
    <w:lvl w:ilvl="2">
      <w:start w:val="1"/>
      <w:numFmt w:val="decimal"/>
      <w:lvlText w:val="%1.%2.%3"/>
      <w:lvlJc w:val="left"/>
      <w:pPr>
        <w:ind w:left="1440" w:hanging="720"/>
      </w:pPr>
      <w:rPr>
        <w:rFonts w:ascii="Calibri" w:cs="Calibri" w:eastAsia="Calibri" w:hAnsi="Calibri"/>
        <w:b w:val="0"/>
        <w:i w:val="0"/>
        <w:smallCaps w:val="0"/>
        <w:strike w:val="0"/>
        <w:color w:val="000000"/>
        <w:u w:val="none"/>
        <w:vertAlign w:val="baseline"/>
      </w:rPr>
    </w:lvl>
    <w:lvl w:ilvl="3">
      <w:start w:val="1"/>
      <w:numFmt w:val="lowerLetter"/>
      <w:lvlText w:val="(%4)"/>
      <w:lvlJc w:val="left"/>
      <w:pPr>
        <w:ind w:left="1440" w:hanging="720"/>
      </w:pPr>
      <w:rPr>
        <w:rFonts w:ascii="Calibri" w:cs="Calibri" w:eastAsia="Calibri" w:hAnsi="Calibri"/>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GB"/>
      </w:rPr>
    </w:rPrDefault>
    <w:pPrDefault>
      <w:pPr>
        <w:spacing w:after="240" w:lineRule="auto"/>
        <w:ind w:left="1418"/>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ind w:left="1418"/>
      <w:jc w:val="both"/>
      <w:textAlignment w:val="baseline"/>
    </w:pPr>
    <w:rPr>
      <w:rFonts w:ascii="Arial" w:cs="Arial" w:eastAsia="Times New Roman" w:hAnsi="Arial"/>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paragraph" w:styleId="GPSmacrorestart" w:customStyle="1">
    <w:name w:val="GPS macro restart"/>
    <w:basedOn w:val="Normal"/>
    <w:qFormat w:val="1"/>
    <w:pPr>
      <w:spacing w:after="0"/>
      <w:ind w:left="0"/>
    </w:pPr>
    <w:rPr>
      <w:color w:val="ffffff"/>
      <w:sz w:val="16"/>
      <w:szCs w:val="16"/>
    </w:rPr>
  </w:style>
  <w:style w:type="paragraph" w:styleId="GPSL1CLAUSEHEADING" w:customStyle="1">
    <w:name w:val="GPS L1 CLAUSE HEADING"/>
    <w:basedOn w:val="Normal"/>
    <w:next w:val="Normal"/>
    <w:qFormat w:val="1"/>
    <w:pPr>
      <w:numPr>
        <w:numId w:val="1"/>
      </w:numPr>
      <w:tabs>
        <w:tab w:val="left" w:pos="0"/>
      </w:tabs>
      <w:overflowPunct w:val="1"/>
      <w:autoSpaceDE w:val="1"/>
      <w:autoSpaceDN w:val="1"/>
      <w:spacing w:before="240"/>
      <w:ind w:left="360" w:hanging="360"/>
      <w:textAlignment w:val="auto"/>
      <w:outlineLvl w:val="1"/>
    </w:pPr>
    <w:rPr>
      <w:rFonts w:ascii="Arial Bold" w:eastAsia="STZhongsong" w:hAnsi="Arial Bold"/>
      <w:b w:val="1"/>
      <w:caps w:val="1"/>
      <w:lang w:eastAsia="zh-CN"/>
    </w:rPr>
  </w:style>
  <w:style w:type="paragraph" w:styleId="GPSL2numberedclause" w:customStyle="1">
    <w:name w:val="GPS L2 numbered clause"/>
    <w:basedOn w:val="Normal"/>
    <w:link w:val="GPSL2numberedclauseChar1"/>
    <w:qFormat w:val="1"/>
    <w:pPr>
      <w:numPr>
        <w:ilvl w:val="1"/>
        <w:numId w:val="1"/>
      </w:numPr>
      <w:tabs>
        <w:tab w:val="clear" w:pos="720"/>
      </w:tabs>
      <w:overflowPunct w:val="1"/>
      <w:autoSpaceDE w:val="1"/>
      <w:autoSpaceDN w:val="1"/>
      <w:spacing w:after="120" w:before="120"/>
      <w:ind w:left="936" w:hanging="576"/>
      <w:textAlignment w:val="auto"/>
    </w:pPr>
    <w:rPr>
      <w:rFonts w:ascii="Calibri" w:hAnsi="Calibri"/>
      <w:lang w:eastAsia="zh-CN"/>
    </w:rPr>
  </w:style>
  <w:style w:type="paragraph" w:styleId="GPSL3numberedclause" w:customStyle="1">
    <w:name w:val="GPS L3 numbered clause"/>
    <w:basedOn w:val="GPSL2numberedclause"/>
    <w:link w:val="GPSL3numberedclauseChar"/>
    <w:qFormat w:val="1"/>
    <w:pPr>
      <w:numPr>
        <w:ilvl w:val="2"/>
      </w:numPr>
      <w:tabs>
        <w:tab w:val="left" w:pos="1985"/>
        <w:tab w:val="left" w:pos="2127"/>
      </w:tabs>
      <w:ind w:left="1656"/>
    </w:pPr>
  </w:style>
  <w:style w:type="paragraph" w:styleId="GPSL4numberedclause" w:customStyle="1">
    <w:name w:val="GPS L4 numbered clause"/>
    <w:basedOn w:val="GPSL3numberedclause"/>
    <w:link w:val="GPSL4numberedclauseChar"/>
    <w:qFormat w:val="1"/>
    <w:pPr>
      <w:numPr>
        <w:ilvl w:val="3"/>
      </w:numPr>
      <w:tabs>
        <w:tab w:val="clear" w:pos="1440"/>
        <w:tab w:val="clear" w:pos="1985"/>
        <w:tab w:val="clear" w:pos="2127"/>
      </w:tabs>
      <w:ind w:left="2592" w:hanging="936"/>
    </w:pPr>
    <w:rPr>
      <w:szCs w:val="20"/>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3numberedclauseChar" w:customStyle="1">
    <w:name w:val="GPS L3 numbered clause Char"/>
    <w:link w:val="GPSL3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qFormat w:val="1"/>
    <w:pPr>
      <w:numPr>
        <w:ilvl w:val="4"/>
      </w:numPr>
      <w:tabs>
        <w:tab w:val="num" w:pos="360"/>
        <w:tab w:val="left" w:pos="3402"/>
      </w:tabs>
      <w:ind w:left="3402" w:hanging="567"/>
    </w:pPr>
  </w:style>
  <w:style w:type="paragraph" w:styleId="GPSL6numbered" w:customStyle="1">
    <w:name w:val="GPS L6 numbered"/>
    <w:basedOn w:val="GPSL5numberedclause"/>
    <w:qFormat w:val="1"/>
    <w:pPr>
      <w:numPr>
        <w:ilvl w:val="5"/>
      </w:numPr>
      <w:tabs>
        <w:tab w:val="num" w:pos="360"/>
        <w:tab w:val="left" w:pos="4253"/>
      </w:tabs>
      <w:ind w:left="4253" w:hanging="709"/>
    </w:pPr>
  </w:style>
  <w:style w:type="paragraph" w:styleId="GPSSchTitleandNumber" w:customStyle="1">
    <w:name w:val="GPS Sch Title and Number"/>
    <w:basedOn w:val="Normal"/>
    <w:link w:val="GPSSchTitleandNumberChar"/>
    <w:qFormat w:val="1"/>
    <w:pPr>
      <w:keepNext w:val="1"/>
      <w:overflowPunct w:val="1"/>
      <w:autoSpaceDE w:val="1"/>
      <w:autoSpaceDN w:val="1"/>
      <w:ind w:left="0"/>
      <w:jc w:val="center"/>
      <w:textAlignment w:val="auto"/>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Term" w:customStyle="1">
    <w:name w:val="GPS Definition Term"/>
    <w:basedOn w:val="Normal"/>
    <w:qFormat w:val="1"/>
    <w:pPr>
      <w:spacing w:after="120"/>
      <w:ind w:left="-108"/>
      <w:jc w:val="left"/>
    </w:pPr>
    <w:rPr>
      <w:b w:val="1"/>
    </w:rPr>
  </w:style>
  <w:style w:type="paragraph" w:styleId="GPsDefinition" w:customStyle="1">
    <w:name w:val="GPs Definition"/>
    <w:basedOn w:val="Normal"/>
    <w:qFormat w:val="1"/>
    <w:pPr>
      <w:numPr>
        <w:numId w:val="2"/>
      </w:numPr>
      <w:tabs>
        <w:tab w:val="left" w:pos="-9"/>
      </w:tabs>
      <w:spacing w:after="120"/>
    </w:pPr>
  </w:style>
  <w:style w:type="paragraph" w:styleId="GPSDefinitionL2" w:customStyle="1">
    <w:name w:val="GPS Definition L2"/>
    <w:basedOn w:val="GPsDefinition"/>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L1SCHEDULEHeading" w:customStyle="1">
    <w:name w:val="GPS L1 SCHEDULE Heading"/>
    <w:basedOn w:val="GPSL1CLAUSEHEADING"/>
    <w:link w:val="GPSL1SCHEDULEHeadingChar"/>
    <w:qFormat w:val="1"/>
    <w:pPr>
      <w:outlineLvl w:val="9"/>
    </w:pPr>
    <w:rPr>
      <w:rFonts w:ascii="Calibri" w:hAnsi="Calibri"/>
    </w:r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Arial" w:cs="Arial" w:eastAsia="Times New Roman" w:hAnsi="Arial"/>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Arial" w:cs="Arial" w:eastAsia="Times New Roman" w:hAnsi="Arial"/>
      <w:b w:val="1"/>
      <w:bCs w:val="1"/>
      <w:sz w:val="20"/>
      <w:szCs w:val="20"/>
    </w:rPr>
  </w:style>
  <w:style w:type="character" w:styleId="Hyperlink">
    <w:name w:val="Hyperlink"/>
    <w:basedOn w:val="DefaultParagraphFont"/>
    <w:uiPriority w:val="99"/>
    <w:unhideWhenUsed w:val="1"/>
    <w:rPr>
      <w:color w:val="0000ff" w:themeColor="hyperlink"/>
      <w:u w:val="single"/>
    </w:rPr>
  </w:style>
  <w:style w:type="character" w:styleId="FollowedHyperlink">
    <w:name w:val="FollowedHyperlink"/>
    <w:basedOn w:val="DefaultParagraphFont"/>
    <w:uiPriority w:val="99"/>
    <w:semiHidden w:val="1"/>
    <w:unhideWhenUsed w:val="1"/>
    <w:rPr>
      <w:color w:val="800080" w:themeColor="followedHyperlink"/>
      <w:u w:val="single"/>
    </w:rPr>
  </w:style>
  <w:style w:type="paragraph" w:styleId="Revision">
    <w:name w:val="Revision"/>
    <w:hidden w:val="1"/>
    <w:uiPriority w:val="99"/>
    <w:semiHidden w:val="1"/>
    <w:pPr>
      <w:spacing w:after="0" w:line="240" w:lineRule="auto"/>
    </w:pPr>
    <w:rPr>
      <w:rFonts w:ascii="Arial" w:cs="Arial" w:eastAsia="Times New Roman" w:hAnsi="Arial"/>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3.xml"/><Relationship Id="rId10" Type="http://schemas.openxmlformats.org/officeDocument/2006/relationships/footer" Target="footer1.xml"/><Relationship Id="rId12" Type="http://schemas.openxmlformats.org/officeDocument/2006/relationships/footer" Target="footer2.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pe+45D6OrP28WFlmmZpIzhhSCvQ==">CgMxLjAyCGguZ2pkZ3hzMgloLjMwajB6bGwyCWguMWZvYjl0ZTIJaC4zem55c2g3MgloLjJldDkycDAyCGgudHlqY3d0MgloLjNkeTZ2a20yCWguMXQzaDVzZjIJaC40ZDM0b2c4MgloLjJzOGV5bzEyCWguMTdkcDh2dTIJaC4zcmRjcmpuMgloLjI2aW4xcmcyCGgubG54Yno5MgloLjM1bmt1bjIyCWguMWtzdjR1djIJaC40NHNpbmlvMgloLjJqeHN4cWgyCGguejMzN3lhMgloLjNqMnFxbTMyCWguMXk4MTB0dzIJaC40aTdvamhwMgloLjJ4Y3l0cGkyCWguMWNpOTN4YjIJaC4zd2h3bWw0MgloLjJibjZ3c3gyCGgucXNoNzBxOAByITFlTHl2ZTNlQkZFMUZ4REU5MlpZeHJ5TzJVMnpDT1ZQV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2021-02-15T14:52:00Z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